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1B" w:rsidRDefault="003B031B" w:rsidP="003B031B">
      <w:pPr>
        <w:jc w:val="center"/>
        <w:rPr>
          <w:b/>
          <w:sz w:val="32"/>
          <w:szCs w:val="32"/>
        </w:rPr>
      </w:pPr>
      <w:r w:rsidRPr="003B031B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-379095</wp:posOffset>
            </wp:positionV>
            <wp:extent cx="1825625" cy="647700"/>
            <wp:effectExtent l="19050" t="0" r="3175" b="0"/>
            <wp:wrapNone/>
            <wp:docPr id="6" name="obrázek 6" descr="Selina_logo_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lina_logo_menš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31B">
        <w:rPr>
          <w:b/>
          <w:sz w:val="32"/>
          <w:szCs w:val="32"/>
        </w:rPr>
        <w:t>Zpravodaj Březen 2010</w:t>
      </w:r>
    </w:p>
    <w:p w:rsidR="003B031B" w:rsidRDefault="003B031B" w:rsidP="003B031B">
      <w:pPr>
        <w:rPr>
          <w:b/>
          <w:sz w:val="32"/>
          <w:szCs w:val="32"/>
        </w:rPr>
      </w:pPr>
    </w:p>
    <w:p w:rsidR="00301727" w:rsidRDefault="00301727" w:rsidP="003B031B">
      <w:pPr>
        <w:rPr>
          <w:rFonts w:ascii="Arial" w:eastAsia="Times New Roman" w:hAnsi="Arial" w:cs="Arial"/>
          <w:b/>
          <w:bCs/>
          <w:lang w:val="en-US" w:eastAsia="cs-CZ"/>
        </w:rPr>
      </w:pPr>
      <w:r w:rsidRPr="00301727">
        <w:rPr>
          <w:rFonts w:ascii="Arial" w:eastAsia="Times New Roman" w:hAnsi="Arial" w:cs="Arial"/>
          <w:b/>
          <w:bCs/>
          <w:lang w:eastAsia="cs-CZ"/>
        </w:rPr>
        <w:t>Mezinárodní workshop o pohotovostní spotřebě, konaný 2. března ve Vídni</w:t>
      </w:r>
      <w:r>
        <w:rPr>
          <w:rFonts w:ascii="Arial" w:eastAsia="Times New Roman" w:hAnsi="Arial" w:cs="Arial"/>
          <w:b/>
          <w:bCs/>
          <w:lang w:val="en-US" w:eastAsia="cs-CZ"/>
        </w:rPr>
        <w:t xml:space="preserve"> </w:t>
      </w:r>
    </w:p>
    <w:p w:rsidR="00EE3FD9" w:rsidRDefault="00EE3FD9" w:rsidP="003B031B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EE3FD9">
        <w:rPr>
          <w:rFonts w:ascii="Arial" w:eastAsia="Times New Roman" w:hAnsi="Arial" w:cs="Arial"/>
          <w:sz w:val="20"/>
          <w:szCs w:val="20"/>
          <w:lang w:eastAsia="cs-CZ"/>
        </w:rPr>
        <w:t>V březnu 2010 proběhl mezinárodní workshop</w:t>
      </w:r>
      <w:r w:rsidR="005A256A">
        <w:rPr>
          <w:rFonts w:ascii="Arial" w:eastAsia="Times New Roman" w:hAnsi="Arial" w:cs="Arial"/>
          <w:sz w:val="20"/>
          <w:szCs w:val="20"/>
          <w:lang w:eastAsia="cs-CZ"/>
        </w:rPr>
        <w:t xml:space="preserve"> na téma standby, organizovaný společně Mezinárodní energetickou agenturou, APP a Evropskou unií. </w:t>
      </w:r>
      <w:r w:rsidR="001F0DAF">
        <w:rPr>
          <w:rFonts w:ascii="Arial" w:eastAsia="Times New Roman" w:hAnsi="Arial" w:cs="Arial"/>
          <w:sz w:val="20"/>
          <w:szCs w:val="20"/>
          <w:lang w:eastAsia="cs-CZ"/>
        </w:rPr>
        <w:t>Během semináře byla diskutovaná současná situace na poli standby. Mezi řečníky byli Alan Meier (</w:t>
      </w:r>
      <w:r w:rsidR="001F0DAF" w:rsidRPr="003B031B">
        <w:rPr>
          <w:rFonts w:ascii="Arial" w:eastAsia="Times New Roman" w:hAnsi="Arial" w:cs="Arial"/>
          <w:sz w:val="20"/>
          <w:szCs w:val="20"/>
          <w:lang w:eastAsia="cs-CZ"/>
        </w:rPr>
        <w:t>L. Berkeley National Laboratory, USA</w:t>
      </w:r>
      <w:r w:rsidR="001F0DAF">
        <w:rPr>
          <w:rFonts w:ascii="Arial" w:eastAsia="Times New Roman" w:hAnsi="Arial" w:cs="Arial"/>
          <w:sz w:val="20"/>
          <w:szCs w:val="20"/>
          <w:lang w:eastAsia="cs-CZ"/>
        </w:rPr>
        <w:t>), Lloyd Harrington (EES, Australia), Roland Bruniger (</w:t>
      </w:r>
      <w:r w:rsidR="001F0DAF" w:rsidRPr="003B031B">
        <w:rPr>
          <w:rFonts w:ascii="Arial" w:eastAsia="Times New Roman" w:hAnsi="Arial" w:cs="Arial"/>
          <w:sz w:val="20"/>
          <w:szCs w:val="20"/>
          <w:lang w:eastAsia="cs-CZ"/>
        </w:rPr>
        <w:t>Swiss Federal Office of Energy</w:t>
      </w:r>
      <w:r w:rsidR="001F0DAF">
        <w:rPr>
          <w:rFonts w:ascii="Arial" w:eastAsia="Times New Roman" w:hAnsi="Arial" w:cs="Arial"/>
          <w:sz w:val="20"/>
          <w:szCs w:val="20"/>
          <w:lang w:eastAsia="cs-CZ"/>
        </w:rPr>
        <w:t xml:space="preserve">) a členové týmu projektu SELINA. Program workshopu a všechny prezentace je možné nalézt na stránce </w:t>
      </w:r>
      <w:hyperlink r:id="rId6" w:history="1">
        <w:r w:rsidR="001F0DAF" w:rsidRPr="001F0DA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projektu SELINA</w:t>
        </w:r>
      </w:hyperlink>
      <w:r w:rsidR="001F0DA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F0DAF" w:rsidRPr="00EE3FD9" w:rsidRDefault="001F0DAF" w:rsidP="003B031B">
      <w:pPr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000" w:type="dxa"/>
        <w:jc w:val="center"/>
        <w:tblCellSpacing w:w="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3B031B" w:rsidRPr="00ED6256" w:rsidTr="003B031B">
        <w:trPr>
          <w:tblCellSpacing w:w="6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D6256" w:rsidRDefault="003B031B" w:rsidP="00ED62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</w:pPr>
            <w:r w:rsidRPr="00ED62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76350" cy="1123950"/>
                  <wp:effectExtent l="19050" t="0" r="0" b="0"/>
                  <wp:wrapSquare wrapText="bothSides"/>
                  <wp:docPr id="2" name="obrázek 2" descr="http://www.selina-project.eu/files/powerswi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lina-project.eu/files/powerswi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6256" w:rsidRPr="00ED6256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Pohotovostní režim a vypnutý stav u 2700 naměřených spotřebičů</w:t>
            </w:r>
          </w:p>
          <w:p w:rsidR="00ED6256" w:rsidRPr="00ED6256" w:rsidRDefault="00ED6256" w:rsidP="00ED62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cs-CZ"/>
              </w:rPr>
              <w:t xml:space="preserve">V obchodech ve 12 evropských zemích projektu SELINA pokračují měření standby. Celkem bude naměřeno 6 000 různých spotřebičů. Na konci ledna 2010 bylo dokončeno 45 % měření a </w:t>
            </w:r>
            <w:hyperlink r:id="rId8" w:history="1">
              <w:r w:rsidRPr="00A67DB5">
                <w:rPr>
                  <w:rStyle w:val="Hypertextovodkaz"/>
                  <w:rFonts w:ascii="Arial" w:eastAsia="Times New Roman" w:hAnsi="Arial" w:cs="Arial"/>
                  <w:bCs/>
                  <w:sz w:val="20"/>
                  <w:lang w:eastAsia="cs-CZ"/>
                </w:rPr>
                <w:t>zde</w:t>
              </w:r>
            </w:hyperlink>
            <w:r w:rsidRPr="00A67DB5">
              <w:rPr>
                <w:rFonts w:ascii="Arial" w:eastAsia="Times New Roman" w:hAnsi="Arial" w:cs="Arial"/>
                <w:bCs/>
                <w:sz w:val="20"/>
                <w:lang w:eastAsia="cs-CZ"/>
              </w:rPr>
              <w:t xml:space="preserve"> jsou dosavadní výsledky</w:t>
            </w:r>
            <w:r w:rsidR="00571EE7" w:rsidRPr="00A67DB5">
              <w:rPr>
                <w:rFonts w:ascii="Arial" w:eastAsia="Times New Roman" w:hAnsi="Arial" w:cs="Arial"/>
                <w:bCs/>
                <w:sz w:val="20"/>
                <w:lang w:eastAsia="cs-CZ"/>
              </w:rPr>
              <w:t>.</w:t>
            </w:r>
          </w:p>
          <w:p w:rsidR="00571EE7" w:rsidRDefault="00571EE7" w:rsidP="00ED6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B031B" w:rsidRPr="00ED6256" w:rsidRDefault="003B031B" w:rsidP="00ED62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2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B031B" w:rsidRPr="00254F0C" w:rsidTr="003B031B">
        <w:trPr>
          <w:trHeight w:val="2730"/>
          <w:tblCellSpacing w:w="6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71EE7" w:rsidRPr="00254F0C" w:rsidRDefault="00571EE7" w:rsidP="00571EE7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lang w:eastAsia="cs-CZ"/>
              </w:rPr>
            </w:pPr>
            <w:r w:rsidRPr="00254F0C">
              <w:rPr>
                <w:rFonts w:ascii="Arial" w:eastAsia="Times New Roman" w:hAnsi="Arial" w:cs="Arial"/>
                <w:b/>
                <w:bCs/>
                <w:i/>
                <w:sz w:val="20"/>
                <w:lang w:eastAsia="cs-CZ"/>
              </w:rPr>
              <w:t>Síťové připojení a jeho spotřeba</w:t>
            </w:r>
          </w:p>
          <w:p w:rsidR="00571EE7" w:rsidRPr="00254F0C" w:rsidRDefault="003B031B" w:rsidP="00571EE7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 w:rsidRPr="00254F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670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133475"/>
                  <wp:effectExtent l="19050" t="0" r="0" b="0"/>
                  <wp:wrapSquare wrapText="bothSides"/>
                  <wp:docPr id="3" name="obrázek 3" descr="http://www.selina-project.eu/files/pijl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lina-project.eu/files/pijl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EE7" w:rsidRPr="00254F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Stále více zemí zavádí legislativu, která omezuje spotřebu energie výrobků v pohotovostním režimu. Většinou se však zaměřují na nejjednodušší režimy (jako je tomu v případě evropského nařízení o spotřebě v pohotovostním režimu a vypnutém stavu). Současně se však </w:t>
            </w:r>
            <w:r w:rsidR="00254F0C" w:rsidRPr="00254F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objevuje </w:t>
            </w:r>
            <w:r w:rsidR="00571EE7" w:rsidRPr="00254F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čím dál více výrobků</w:t>
            </w:r>
            <w:r w:rsidR="00254F0C" w:rsidRPr="00254F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stále komplexnějšími, nízkopříkonovými režimy, jako například síťově propojené výrobky nebo kávovary. Většina definic pohotovostního režimu nebere tyto komplexnější režimy v potaz a jen minimum legislativních opatření se těmito režimy zabývá </w:t>
            </w:r>
            <w:r w:rsidR="00254F0C" w:rsidRPr="00254F0C"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[</w:t>
            </w:r>
            <w:r w:rsidR="00254F0C" w:rsidRPr="00254F0C">
              <w:rPr>
                <w:rFonts w:ascii="Arial" w:eastAsia="Times New Roman" w:hAnsi="Arial" w:cs="Arial"/>
                <w:color w:val="0000FF"/>
                <w:sz w:val="20"/>
                <w:u w:val="single"/>
                <w:lang w:val="en-US" w:eastAsia="cs-CZ"/>
              </w:rPr>
              <w:t>ČÍST DÁLE</w:t>
            </w:r>
            <w:r w:rsidRPr="00254F0C"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 xml:space="preserve"> ]</w:t>
            </w:r>
          </w:p>
          <w:p w:rsidR="008316E9" w:rsidRDefault="008316E9" w:rsidP="00254F0C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8316E9" w:rsidRDefault="008316E9" w:rsidP="00254F0C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Komplexnost problému síťového režimu spočívá v tom, že v něm bude do budoucna zůstávat stále více spotřebičů</w:t>
            </w:r>
            <w:r w:rsidR="00C27A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tedy že budou připojené k síti, aniž by vykonávaly jednu ze svých hlavních funkcí. </w:t>
            </w:r>
            <w:r w:rsidR="00C27AAA" w:rsidRPr="00254F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Většina definic pohotovostního režimu nebere tyto komplexnější režimy v potaz a jen minimum legislativních opatření se </w:t>
            </w:r>
            <w:r w:rsidR="00C27A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jimi soustavně a zevrubně</w:t>
            </w:r>
            <w:r w:rsidR="00C27AAA" w:rsidRPr="00254F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zabývá</w:t>
            </w:r>
            <w:r w:rsidR="00C27A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C27AAA" w:rsidRDefault="00C27AAA" w:rsidP="00254F0C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Článek, zabývající se právě režimem, ve kterém jsou spotřebiče síťově propojeny a spojitostí s nízkopříkonovými režim</w:t>
            </w:r>
            <w:r w:rsidR="00A67D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byl prezentován na konferenci EEDAL 2009. Článek (v angličtině) je možné stáhnout na </w:t>
            </w:r>
            <w:hyperlink r:id="rId10" w:history="1">
              <w:r w:rsidRPr="00A67DB5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u w:val="single"/>
                  <w:lang w:eastAsia="cs-CZ"/>
                </w:rPr>
                <w:t>http://eetd.lbl.gov/ea/nordman/docs/eedal-2009-nordman.pdf</w:t>
              </w:r>
            </w:hyperlink>
            <w:r w:rsidRPr="00A67DB5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u w:val="single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254F0C" w:rsidRPr="00254F0C" w:rsidRDefault="00254F0C" w:rsidP="00571EE7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i/>
                <w:color w:val="1F497D"/>
                <w:sz w:val="20"/>
                <w:szCs w:val="20"/>
                <w:lang w:val="en-US" w:eastAsia="cs-CZ"/>
              </w:rPr>
            </w:pPr>
          </w:p>
          <w:p w:rsidR="00254F0C" w:rsidRPr="00254F0C" w:rsidRDefault="00254F0C" w:rsidP="00571EE7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  <w:tr w:rsidR="003B031B" w:rsidRPr="003B031B" w:rsidTr="003B031B">
        <w:trPr>
          <w:trHeight w:val="2730"/>
          <w:tblCellSpacing w:w="6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A2890" w:rsidRDefault="002A2890" w:rsidP="003B031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</w:pPr>
            <w:r w:rsidRPr="002A2890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lastRenderedPageBreak/>
              <w:t>Seminář o standardech energetické účinnosti/štítkování serverů a počítačové techniky</w:t>
            </w:r>
          </w:p>
          <w:p w:rsidR="003B031B" w:rsidRPr="002A2890" w:rsidRDefault="00C81E56" w:rsidP="00A67DB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cs-CZ"/>
              </w:rPr>
              <w:t>Za podpory a koordinace</w:t>
            </w:r>
            <w:r w:rsidR="002A2890">
              <w:rPr>
                <w:rFonts w:ascii="Arial" w:eastAsia="Times New Roman" w:hAnsi="Arial" w:cs="Arial"/>
                <w:bCs/>
                <w:sz w:val="20"/>
                <w:lang w:eastAsia="cs-CZ"/>
              </w:rPr>
              <w:t xml:space="preserve"> CLAS</w:t>
            </w:r>
            <w:r w:rsidR="00A67DB5">
              <w:rPr>
                <w:rFonts w:ascii="Arial" w:eastAsia="Times New Roman" w:hAnsi="Arial" w:cs="Arial"/>
                <w:bCs/>
                <w:sz w:val="20"/>
                <w:lang w:eastAsia="cs-CZ"/>
              </w:rPr>
              <w:t>P</w:t>
            </w:r>
            <w:r w:rsidR="002A2890">
              <w:rPr>
                <w:rFonts w:ascii="Arial" w:eastAsia="Times New Roman" w:hAnsi="Arial" w:cs="Arial"/>
                <w:bCs/>
                <w:sz w:val="20"/>
                <w:lang w:eastAsia="cs-CZ"/>
              </w:rPr>
              <w:t xml:space="preserve">, CSEP a LBNL zorganizoval </w:t>
            </w:r>
            <w:r w:rsidR="002A2890" w:rsidRPr="002A2890">
              <w:rPr>
                <w:rFonts w:ascii="Arial" w:eastAsia="Times New Roman" w:hAnsi="Arial" w:cs="Arial"/>
                <w:bCs/>
                <w:sz w:val="20"/>
                <w:lang w:eastAsia="cs-CZ"/>
              </w:rPr>
              <w:t xml:space="preserve">CNIS </w:t>
            </w:r>
            <w:r w:rsidR="002A2890">
              <w:rPr>
                <w:rFonts w:ascii="Arial" w:eastAsia="Times New Roman" w:hAnsi="Arial" w:cs="Arial"/>
                <w:bCs/>
                <w:sz w:val="20"/>
                <w:lang w:eastAsia="cs-CZ"/>
              </w:rPr>
              <w:t xml:space="preserve">v listopadu 2009 v Pekingu </w:t>
            </w:r>
            <w:r w:rsidR="002A2890" w:rsidRPr="002A2890">
              <w:rPr>
                <w:rFonts w:ascii="Arial" w:eastAsia="Times New Roman" w:hAnsi="Arial" w:cs="Arial"/>
                <w:bCs/>
                <w:sz w:val="20"/>
                <w:lang w:eastAsia="cs-CZ"/>
              </w:rPr>
              <w:t>seminář o standardech energetické účinnosti/štítkování serverů a počítačové techniky</w:t>
            </w:r>
            <w:r w:rsidR="002A2890">
              <w:rPr>
                <w:rFonts w:ascii="Arial" w:eastAsia="Times New Roman" w:hAnsi="Arial" w:cs="Arial"/>
                <w:bCs/>
                <w:sz w:val="20"/>
                <w:lang w:eastAsia="cs-CZ"/>
              </w:rPr>
              <w:t>. Semináře se zúčastnili zástupci indického Úřadu pro energetickou efektivnost, americké organizace Energy Star a zástupci Evropské komise. Účastníci diskutovali o možnostech harmonizace testovacích postupů a/nebo standardů pro minimální energetickou účinnost serverů a počítačové techniky. Evropská komise sjednotila své standardy s požadavky Energy Star.</w:t>
            </w:r>
            <w:r w:rsidR="003B03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75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190625"/>
                  <wp:effectExtent l="19050" t="0" r="0" b="0"/>
                  <wp:wrapSquare wrapText="bothSides"/>
                  <wp:docPr id="5" name="obrázek 5" descr="http://www.selina-project.eu/files/serv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elina-project.eu/files/serv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2890">
              <w:rPr>
                <w:rFonts w:ascii="Arial" w:eastAsia="Times New Roman" w:hAnsi="Arial" w:cs="Arial"/>
                <w:bCs/>
                <w:sz w:val="20"/>
                <w:lang w:eastAsia="cs-CZ"/>
              </w:rPr>
              <w:t xml:space="preserve"> </w:t>
            </w:r>
            <w:r w:rsidR="003B031B" w:rsidRPr="003B03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[</w:t>
            </w:r>
            <w:hyperlink r:id="rId12" w:history="1">
              <w:r w:rsidR="002A2890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ČÍST DÁLE</w:t>
              </w:r>
            </w:hyperlink>
            <w:r w:rsidR="003B031B" w:rsidRPr="003B03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]</w:t>
            </w:r>
            <w:r w:rsidR="003B031B" w:rsidRPr="003B03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C81E56" w:rsidRDefault="00C81E56" w:rsidP="00C81E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 xml:space="preserve">USA byl pak </w:t>
      </w:r>
      <w:r w:rsidR="00A67DB5">
        <w:rPr>
          <w:rFonts w:ascii="Arial" w:eastAsia="Times New Roman" w:hAnsi="Arial" w:cs="Arial"/>
          <w:bCs/>
          <w:sz w:val="20"/>
          <w:lang w:eastAsia="cs-CZ"/>
        </w:rPr>
        <w:t>jediným</w:t>
      </w:r>
      <w:r>
        <w:rPr>
          <w:rFonts w:ascii="Arial" w:eastAsia="Times New Roman" w:hAnsi="Arial" w:cs="Arial"/>
          <w:bCs/>
          <w:sz w:val="20"/>
          <w:lang w:eastAsia="cs-CZ"/>
        </w:rPr>
        <w:t xml:space="preserve"> zástupcem</w:t>
      </w:r>
      <w:r w:rsidR="00A67DB5">
        <w:rPr>
          <w:rFonts w:ascii="Arial" w:eastAsia="Times New Roman" w:hAnsi="Arial" w:cs="Arial"/>
          <w:bCs/>
          <w:sz w:val="20"/>
          <w:lang w:eastAsia="cs-CZ"/>
        </w:rPr>
        <w:t xml:space="preserve"> země</w:t>
      </w:r>
      <w:r>
        <w:rPr>
          <w:rFonts w:ascii="Arial" w:eastAsia="Times New Roman" w:hAnsi="Arial" w:cs="Arial"/>
          <w:bCs/>
          <w:sz w:val="20"/>
          <w:lang w:eastAsia="cs-CZ"/>
        </w:rPr>
        <w:t xml:space="preserve">, kde již bylo zavedeno dobrovolné štítkování </w:t>
      </w:r>
      <w:r w:rsidR="00A67DB5">
        <w:rPr>
          <w:rFonts w:ascii="Arial" w:eastAsia="Times New Roman" w:hAnsi="Arial" w:cs="Arial"/>
          <w:bCs/>
          <w:sz w:val="20"/>
          <w:lang w:eastAsia="cs-CZ"/>
        </w:rPr>
        <w:t>pro</w:t>
      </w:r>
      <w:r>
        <w:rPr>
          <w:rFonts w:ascii="Arial" w:eastAsia="Times New Roman" w:hAnsi="Arial" w:cs="Arial"/>
          <w:bCs/>
          <w:sz w:val="20"/>
          <w:lang w:eastAsia="cs-CZ"/>
        </w:rPr>
        <w:t xml:space="preserve"> servery. Ostatní účastnící plánují zavést pro servery standardy pro minimální energetickou účinnost.</w:t>
      </w:r>
    </w:p>
    <w:p w:rsidR="00C81E56" w:rsidRDefault="00C81E56" w:rsidP="00C81E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>Všichni zúčastnění se shodli na hlavních problémech, které je třeba řešit. Hlavními závěry semináře jsou:</w:t>
      </w:r>
    </w:p>
    <w:p w:rsidR="00C81E56" w:rsidRDefault="00C81E56" w:rsidP="00C81E5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>Účastníci se shodli, že je potřeba sjednotit testovací procesy pro počítačovou techniku. CLASP proto poskytne expertům z ostatních zemí školení o zkušebních procesech Energy star a bude hostit všechna další setkání.</w:t>
      </w:r>
    </w:p>
    <w:p w:rsidR="00C81E56" w:rsidRDefault="00C81E56" w:rsidP="00C81E5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>Účastnící se také dohodli, že budou spolupracovat na společné zkušební metodě pro servery, jakmile bude volně dostupný zkušební software.</w:t>
      </w:r>
    </w:p>
    <w:p w:rsidR="00C81E56" w:rsidRDefault="00C81E56" w:rsidP="00C81E5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>CLASP bude z každou zemí zvlášť pracovat na standardech minimální energetické účinnosti pro servery a počítačovou techniku (v návaznosti na specifika jednotlivých zemí).</w:t>
      </w:r>
    </w:p>
    <w:p w:rsidR="00C81E56" w:rsidRDefault="00C81E56" w:rsidP="00C81E5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>CLASP navrhne formulaci dopisu, který Čína, Indie a USA rozešle výrobcům a ve kterém je bude informovat o dohodě těchto států spolupracovat na vytvoření jednotných standardů a vyzve výrobce ke spolupráci.</w:t>
      </w:r>
    </w:p>
    <w:p w:rsidR="00C81E56" w:rsidRDefault="00C81E56" w:rsidP="00C81E5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>CLASP bude plnit funkci sekretariátu pro všechny tyto aktivity a bude podle potřeby a požadavků poskytovat technickou podporu a analytické práce.</w:t>
      </w:r>
    </w:p>
    <w:p w:rsidR="00C81E56" w:rsidRPr="002A2890" w:rsidRDefault="00C81E56" w:rsidP="00C81E56">
      <w:pPr>
        <w:spacing w:after="0" w:line="240" w:lineRule="auto"/>
        <w:rPr>
          <w:rFonts w:ascii="Arial" w:eastAsia="Times New Roman" w:hAnsi="Arial" w:cs="Arial"/>
          <w:bCs/>
          <w:color w:val="4F81BD" w:themeColor="accent1"/>
          <w:sz w:val="20"/>
          <w:u w:val="single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 xml:space="preserve">Prezentace semináře jsou ke stažení na </w:t>
      </w:r>
      <w:hyperlink r:id="rId13" w:history="1">
        <w:r w:rsidRPr="00C81E56">
          <w:rPr>
            <w:rFonts w:ascii="Arial" w:eastAsia="Times New Roman" w:hAnsi="Arial" w:cs="Arial"/>
            <w:bCs/>
            <w:color w:val="4F81BD" w:themeColor="accent1"/>
            <w:sz w:val="20"/>
            <w:u w:val="single"/>
            <w:lang w:eastAsia="cs-CZ"/>
          </w:rPr>
          <w:t>http://www.clasponline.org/clasp.online.resource.php?disdoc=659</w:t>
        </w:r>
      </w:hyperlink>
    </w:p>
    <w:p w:rsidR="00C81E56" w:rsidRDefault="00C81E56" w:rsidP="00C81E56">
      <w:pPr>
        <w:spacing w:after="0" w:line="240" w:lineRule="auto"/>
        <w:rPr>
          <w:rFonts w:ascii="Arial" w:eastAsia="Times New Roman" w:hAnsi="Arial" w:cs="Arial"/>
          <w:b/>
          <w:bCs/>
          <w:sz w:val="20"/>
          <w:lang w:eastAsia="cs-CZ"/>
        </w:rPr>
      </w:pPr>
    </w:p>
    <w:p w:rsidR="00680897" w:rsidRPr="00C81E56" w:rsidRDefault="00680897" w:rsidP="00C81E56">
      <w:pPr>
        <w:spacing w:after="0" w:line="240" w:lineRule="auto"/>
        <w:rPr>
          <w:rFonts w:ascii="Arial" w:eastAsia="Times New Roman" w:hAnsi="Arial" w:cs="Arial"/>
          <w:b/>
          <w:bCs/>
          <w:sz w:val="20"/>
          <w:lang w:eastAsia="cs-CZ"/>
        </w:rPr>
      </w:pPr>
    </w:p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B031B" w:rsidRPr="003B031B" w:rsidTr="003B031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890" w:rsidRDefault="002A2890" w:rsidP="002A2890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u w:val="single"/>
              </w:rPr>
              <w:t>Odhlásit se</w:t>
            </w:r>
            <w:r>
              <w:rPr>
                <w:sz w:val="15"/>
                <w:szCs w:val="15"/>
              </w:rPr>
              <w:t xml:space="preserve"> : Pokud již nechcete dostávat další zpravodaje projektu SELINA, prosím </w:t>
            </w:r>
            <w:hyperlink r:id="rId14" w:history="1">
              <w:r>
                <w:rPr>
                  <w:color w:val="0000FF"/>
                  <w:sz w:val="15"/>
                  <w:u w:val="single"/>
                </w:rPr>
                <w:t>klikněte zd</w:t>
              </w:r>
              <w:r w:rsidRPr="009465F4">
                <w:rPr>
                  <w:color w:val="0000FF"/>
                  <w:sz w:val="15"/>
                  <w:u w:val="single"/>
                </w:rPr>
                <w:t>e</w:t>
              </w:r>
            </w:hyperlink>
            <w:r w:rsidRPr="009465F4">
              <w:rPr>
                <w:sz w:val="15"/>
                <w:szCs w:val="15"/>
              </w:rPr>
              <w:t xml:space="preserve"> </w:t>
            </w:r>
            <w:r w:rsidRPr="009465F4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Více informací o projektu naleznete na</w:t>
            </w:r>
            <w:r w:rsidRPr="009465F4">
              <w:rPr>
                <w:sz w:val="15"/>
                <w:szCs w:val="15"/>
              </w:rPr>
              <w:t xml:space="preserve"> </w:t>
            </w:r>
            <w:hyperlink r:id="rId15" w:history="1">
              <w:r w:rsidRPr="009465F4">
                <w:rPr>
                  <w:color w:val="0000FF"/>
                  <w:sz w:val="15"/>
                  <w:u w:val="single"/>
                </w:rPr>
                <w:t>www.selina-project.eu/</w:t>
              </w:r>
            </w:hyperlink>
            <w:r w:rsidRPr="009465F4">
              <w:rPr>
                <w:sz w:val="15"/>
                <w:szCs w:val="15"/>
              </w:rPr>
              <w:t xml:space="preserve">  </w:t>
            </w:r>
            <w:r w:rsidRPr="009465F4">
              <w:rPr>
                <w:sz w:val="15"/>
                <w:szCs w:val="15"/>
              </w:rPr>
              <w:br/>
              <w:t xml:space="preserve">Powerd by </w:t>
            </w:r>
            <w:hyperlink r:id="rId16" w:history="1">
              <w:r w:rsidRPr="009465F4">
                <w:rPr>
                  <w:color w:val="0000FF"/>
                  <w:sz w:val="15"/>
                  <w:u w:val="single"/>
                </w:rPr>
                <w:t>WebSailer</w:t>
              </w:r>
            </w:hyperlink>
            <w:r w:rsidRPr="009465F4">
              <w:rPr>
                <w:sz w:val="15"/>
                <w:szCs w:val="15"/>
              </w:rPr>
              <w:t xml:space="preserve"> </w:t>
            </w:r>
          </w:p>
          <w:p w:rsidR="002A2890" w:rsidRDefault="002A2890" w:rsidP="002A2890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eastAsia="cs-CZ"/>
              </w:rPr>
              <w:drawing>
                <wp:inline distT="0" distB="0" distL="0" distR="0">
                  <wp:extent cx="2324100" cy="304800"/>
                  <wp:effectExtent l="19050" t="0" r="0" b="0"/>
                  <wp:docPr id="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1B" w:rsidRPr="002A2890" w:rsidRDefault="002A2890" w:rsidP="002A28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val="en-US" w:eastAsia="cs-CZ"/>
              </w:rPr>
            </w:pPr>
            <w:r w:rsidRPr="004B7B30">
              <w:rPr>
                <w:sz w:val="15"/>
                <w:szCs w:val="15"/>
              </w:rPr>
              <w:t xml:space="preserve">Výhradní odpovědnost za obsah </w:t>
            </w:r>
            <w:r>
              <w:rPr>
                <w:sz w:val="15"/>
                <w:szCs w:val="15"/>
              </w:rPr>
              <w:t>tohoto Zpravodaje</w:t>
            </w:r>
            <w:r w:rsidRPr="004B7B30">
              <w:rPr>
                <w:sz w:val="15"/>
                <w:szCs w:val="15"/>
              </w:rPr>
              <w:t xml:space="preserve"> nesou</w:t>
            </w:r>
            <w:r>
              <w:rPr>
                <w:sz w:val="15"/>
                <w:szCs w:val="15"/>
              </w:rPr>
              <w:t xml:space="preserve"> </w:t>
            </w:r>
            <w:r w:rsidRPr="004B7B30">
              <w:rPr>
                <w:sz w:val="15"/>
                <w:szCs w:val="15"/>
              </w:rPr>
              <w:t xml:space="preserve">autoři. </w:t>
            </w:r>
            <w:r>
              <w:rPr>
                <w:sz w:val="15"/>
                <w:szCs w:val="15"/>
              </w:rPr>
              <w:t>Zpravodaj</w:t>
            </w:r>
            <w:r w:rsidRPr="004B7B30">
              <w:rPr>
                <w:sz w:val="15"/>
                <w:szCs w:val="15"/>
              </w:rPr>
              <w:t xml:space="preserve"> nutně nevyjadřuje názor Evropských</w:t>
            </w:r>
            <w:r>
              <w:rPr>
                <w:sz w:val="15"/>
                <w:szCs w:val="15"/>
              </w:rPr>
              <w:t xml:space="preserve"> </w:t>
            </w:r>
            <w:r w:rsidRPr="004B7B30">
              <w:rPr>
                <w:sz w:val="15"/>
                <w:szCs w:val="15"/>
              </w:rPr>
              <w:t>společenství. Komise Evropských společenství není</w:t>
            </w:r>
            <w:r>
              <w:rPr>
                <w:sz w:val="15"/>
                <w:szCs w:val="15"/>
              </w:rPr>
              <w:t xml:space="preserve"> </w:t>
            </w:r>
            <w:r w:rsidRPr="004B7B30">
              <w:rPr>
                <w:sz w:val="15"/>
                <w:szCs w:val="15"/>
              </w:rPr>
              <w:t>odpovědná za jakékoliv použití informací zde obsažených</w:t>
            </w:r>
            <w:r>
              <w:rPr>
                <w:sz w:val="15"/>
                <w:szCs w:val="15"/>
              </w:rPr>
              <w:t xml:space="preserve"> </w:t>
            </w:r>
          </w:p>
        </w:tc>
      </w:tr>
    </w:tbl>
    <w:p w:rsidR="000F5B3F" w:rsidRDefault="00E32CBD"/>
    <w:sectPr w:rsidR="000F5B3F" w:rsidSect="00F6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4B5D"/>
    <w:multiLevelType w:val="hybridMultilevel"/>
    <w:tmpl w:val="E2EE7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93DF6"/>
    <w:multiLevelType w:val="multilevel"/>
    <w:tmpl w:val="6B3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D26B2E"/>
    <w:multiLevelType w:val="hybridMultilevel"/>
    <w:tmpl w:val="01705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031B"/>
    <w:rsid w:val="001F0DAF"/>
    <w:rsid w:val="00222C78"/>
    <w:rsid w:val="00254F0C"/>
    <w:rsid w:val="002A2890"/>
    <w:rsid w:val="00301727"/>
    <w:rsid w:val="003B031B"/>
    <w:rsid w:val="003F68AD"/>
    <w:rsid w:val="00432DB5"/>
    <w:rsid w:val="00504184"/>
    <w:rsid w:val="00571EE7"/>
    <w:rsid w:val="00586323"/>
    <w:rsid w:val="00587F42"/>
    <w:rsid w:val="005A256A"/>
    <w:rsid w:val="005F6590"/>
    <w:rsid w:val="00650BAC"/>
    <w:rsid w:val="00680897"/>
    <w:rsid w:val="006B604C"/>
    <w:rsid w:val="008316E9"/>
    <w:rsid w:val="009C6BE6"/>
    <w:rsid w:val="00A67DB5"/>
    <w:rsid w:val="00C27AAA"/>
    <w:rsid w:val="00C81E56"/>
    <w:rsid w:val="00DE266C"/>
    <w:rsid w:val="00E32CBD"/>
    <w:rsid w:val="00ED6256"/>
    <w:rsid w:val="00EE3FD9"/>
    <w:rsid w:val="00F6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8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031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B031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31B"/>
    <w:rPr>
      <w:rFonts w:ascii="Tahoma" w:hAnsi="Tahoma" w:cs="Tahoma"/>
      <w:sz w:val="16"/>
      <w:szCs w:val="16"/>
    </w:rPr>
  </w:style>
  <w:style w:type="paragraph" w:customStyle="1" w:styleId="supertitel">
    <w:name w:val="supertitel"/>
    <w:basedOn w:val="Normln"/>
    <w:rsid w:val="0025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1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ina-project.eu/files/SELINA%20first%20results.pdf" TargetMode="External"/><Relationship Id="rId13" Type="http://schemas.openxmlformats.org/officeDocument/2006/relationships/hyperlink" Target="http://www.clasponline.org/clasp.online.resource.php?disdoc=65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selina-project.eu/index.cfm?item=newsdetail&amp;newsid=6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websailer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lina-project.eu/index.cfm?item=result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://www.selina-project.eu/" TargetMode="External"/><Relationship Id="rId10" Type="http://schemas.openxmlformats.org/officeDocument/2006/relationships/hyperlink" Target="http://eetd.lbl.gov/ea/nordman/docs/eedal-2009-nordman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nfo@e-ster.b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o.p.s.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kopackod</cp:lastModifiedBy>
  <cp:revision>2</cp:revision>
  <dcterms:created xsi:type="dcterms:W3CDTF">2010-03-31T08:07:00Z</dcterms:created>
  <dcterms:modified xsi:type="dcterms:W3CDTF">2010-03-31T08:07:00Z</dcterms:modified>
</cp:coreProperties>
</file>